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rFonts w:ascii="Arial" w:hAnsi="Arial" w:eastAsia="Arial"/>
        </w:rPr>
        <w:t>Delirium or dementia? The differences at a glance</w:t>
      </w:r>
    </w:p>
    <w:p>
      <w:pPr>
        <w:pStyle w:val="Subtitle"/>
        <w:spacing w:after="100"/>
      </w:pPr>
      <w:r>
        <w:rPr>
          <w:rFonts w:ascii="Arial" w:hAnsi="Arial" w:eastAsia="Arial"/>
        </w:rPr>
        <w:t>The two conditions most often confused with each other, by families and by professionals. If you can put a date on the change, or even a time of day, think delirium.</w:t>
      </w:r>
    </w:p>
    <w:tbl>
      <w:tblPr>
        <w:tblW w:type="dxa" w:w="10080"/>
        <w:jc w:val="left"/>
        <w:tblLayout w:type="fixed"/>
        <w:tblLook w:firstColumn="1" w:firstRow="1" w:lastColumn="0" w:lastRow="0" w:noHBand="0" w:noVBand="1" w:val="04A0"/>
        <w:tblInd w:w="120" w:type="dxa"/>
        <w:tblBorders>
          <w:top w:val="single" w:sz="6" w:space="0" w:color="DCE7EC"/>
          <w:left w:val="single" w:sz="6" w:space="0" w:color="DCE7EC"/>
          <w:bottom w:val="single" w:sz="6" w:space="0" w:color="DCE7EC"/>
          <w:right w:val="single" w:sz="6" w:space="0" w:color="DCE7EC"/>
          <w:insideH w:val="single" w:sz="6" w:space="0" w:color="DCE7EC"/>
          <w:insideV w:val="single" w:sz="6" w:space="0" w:color="DCE7EC"/>
        </w:tblBorders>
        <w:tblCaption w:val="Delirium and dementia comparison"/>
        <w:tblDescription w:val="Comparison of onset, course, attention, alertness, hallucinations, causes and likely progression."/>
      </w:tblPr>
      <w:tblGrid>
        <w:gridCol w:w="1800"/>
        <w:gridCol w:w="4140"/>
        <w:gridCol w:w="4140"/>
      </w:tblGrid>
      <w:tr>
        <w:trPr>
          <w:tblHeader w:val="true"/>
        </w:trPr>
        <w:tc>
          <w:tcPr>
            <w:tcW w:type="dxa" w:w="1800"/>
            <w:tcMar>
              <w:top w:w="90" w:type="dxa"/>
              <w:start w:w="120" w:type="dxa"/>
              <w:bottom w:w="90" w:type="dxa"/>
              <w:end w:w="120" w:type="dxa"/>
            </w:tcMar>
            <w:vAlign w:val="center"/>
            <w:shd w:fill="F1F3F4" w:val="clear"/>
          </w:tcPr>
          <w:p>
            <w:pPr>
              <w:spacing w:before="0" w:after="0" w:line="259" w:lineRule="auto"/>
            </w:pPr>
            <w:r>
              <w:rPr>
                <w:rFonts w:ascii="Arial" w:hAnsi="Arial" w:eastAsia="Arial"/>
                <w:b/>
                <w:color w:val="1F323C"/>
                <w:sz w:val="20"/>
              </w:rPr>
            </w:r>
          </w:p>
        </w:tc>
        <w:tc>
          <w:tcPr>
            <w:tcW w:type="dxa" w:w="4140"/>
            <w:tcMar>
              <w:top w:w="90" w:type="dxa"/>
              <w:start w:w="120" w:type="dxa"/>
              <w:bottom w:w="90" w:type="dxa"/>
              <w:end w:w="120" w:type="dxa"/>
            </w:tcMar>
            <w:vAlign w:val="center"/>
            <w:shd w:fill="EAF4FA" w:val="clear"/>
          </w:tcPr>
          <w:p>
            <w:pPr>
              <w:spacing w:before="0" w:after="0" w:line="259" w:lineRule="auto"/>
            </w:pPr>
            <w:r>
              <w:rPr>
                <w:rFonts w:ascii="Arial" w:hAnsi="Arial" w:eastAsia="Arial"/>
                <w:b/>
                <w:color w:val="1F323C"/>
                <w:sz w:val="20"/>
              </w:rPr>
            </w:r>
            <w:r>
              <w:rPr>
                <w:rFonts w:ascii="Arial" w:hAnsi="Arial" w:eastAsia="Arial"/>
                <w:b/>
                <w:color w:val="1F323C"/>
                <w:sz w:val="20"/>
              </w:rPr>
              <w:t>Delirium</w:t>
            </w:r>
          </w:p>
        </w:tc>
        <w:tc>
          <w:tcPr>
            <w:tcW w:type="dxa" w:w="4140"/>
            <w:tcMar>
              <w:top w:w="90" w:type="dxa"/>
              <w:start w:w="120" w:type="dxa"/>
              <w:bottom w:w="90" w:type="dxa"/>
              <w:end w:w="120" w:type="dxa"/>
            </w:tcMar>
            <w:vAlign w:val="center"/>
            <w:shd w:fill="F1F3F4" w:val="clear"/>
          </w:tcPr>
          <w:p>
            <w:pPr>
              <w:spacing w:before="0" w:after="0" w:line="259" w:lineRule="auto"/>
            </w:pPr>
            <w:r>
              <w:rPr>
                <w:rFonts w:ascii="Arial" w:hAnsi="Arial" w:eastAsia="Arial"/>
                <w:b/>
                <w:color w:val="1F323C"/>
                <w:sz w:val="20"/>
              </w:rPr>
            </w:r>
            <w:r>
              <w:rPr>
                <w:rFonts w:ascii="Arial" w:hAnsi="Arial" w:eastAsia="Arial"/>
                <w:b/>
                <w:color w:val="1F323C"/>
                <w:sz w:val="20"/>
              </w:rPr>
              <w:t>Dementia</w:t>
            </w:r>
          </w:p>
        </w:tc>
      </w:tr>
      <w:tr>
        <w:tc>
          <w:tcPr>
            <w:tcW w:type="dxa" w:w="1800"/>
            <w:tcMar>
              <w:top w:w="90" w:type="dxa"/>
              <w:start w:w="120" w:type="dxa"/>
              <w:bottom w:w="90" w:type="dxa"/>
              <w:end w:w="120" w:type="dxa"/>
            </w:tcMar>
            <w:vAlign w:val="center"/>
            <w:shd w:fill="F8FAFB" w:val="clear"/>
          </w:tcPr>
          <w:p>
            <w:pPr>
              <w:spacing w:before="0" w:after="0" w:line="259" w:lineRule="auto"/>
            </w:pPr>
            <w:r>
              <w:rPr>
                <w:rFonts w:ascii="Arial" w:hAnsi="Arial" w:eastAsia="Arial"/>
                <w:b/>
                <w:color w:val="1F323C"/>
                <w:sz w:val="20"/>
              </w:rPr>
            </w:r>
            <w:r>
              <w:rPr>
                <w:rFonts w:ascii="Arial" w:hAnsi="Arial" w:eastAsia="Arial"/>
                <w:b/>
                <w:color w:val="1F323C"/>
                <w:sz w:val="20"/>
              </w:rPr>
              <w:t>How it starts</w:t>
            </w:r>
          </w:p>
        </w:tc>
        <w:tc>
          <w:tcPr>
            <w:tcW w:type="dxa" w:w="4140"/>
            <w:tcMar>
              <w:top w:w="90" w:type="dxa"/>
              <w:start w:w="120" w:type="dxa"/>
              <w:bottom w:w="90" w:type="dxa"/>
              <w:end w:w="120" w:type="dxa"/>
            </w:tcMar>
            <w:vAlign w:val="center"/>
          </w:tcPr>
          <w:p>
            <w:pPr>
              <w:spacing w:before="0" w:after="0" w:line="259" w:lineRule="auto"/>
            </w:pPr>
            <w:r>
              <w:rPr>
                <w:rFonts w:ascii="Arial" w:hAnsi="Arial" w:eastAsia="Arial"/>
                <w:b w:val="0"/>
                <w:color w:val="1F323C"/>
                <w:sz w:val="20"/>
              </w:rPr>
            </w:r>
            <w:r>
              <w:rPr>
                <w:rFonts w:ascii="Arial" w:hAnsi="Arial" w:eastAsia="Arial"/>
                <w:b w:val="0"/>
                <w:color w:val="1F323C"/>
                <w:sz w:val="20"/>
              </w:rPr>
              <w:t>Over hours or days. You can often put a date on it.</w:t>
            </w:r>
          </w:p>
        </w:tc>
        <w:tc>
          <w:tcPr>
            <w:tcW w:type="dxa" w:w="4140"/>
            <w:tcMar>
              <w:top w:w="90" w:type="dxa"/>
              <w:start w:w="120" w:type="dxa"/>
              <w:bottom w:w="90" w:type="dxa"/>
              <w:end w:w="120" w:type="dxa"/>
            </w:tcMar>
            <w:vAlign w:val="center"/>
          </w:tcPr>
          <w:p>
            <w:pPr>
              <w:spacing w:before="0" w:after="0" w:line="259" w:lineRule="auto"/>
            </w:pPr>
            <w:r>
              <w:rPr>
                <w:rFonts w:ascii="Arial" w:hAnsi="Arial" w:eastAsia="Arial"/>
                <w:b w:val="0"/>
                <w:color w:val="1F323C"/>
                <w:sz w:val="20"/>
              </w:rPr>
            </w:r>
            <w:r>
              <w:rPr>
                <w:rFonts w:ascii="Arial" w:hAnsi="Arial" w:eastAsia="Arial"/>
                <w:b w:val="0"/>
                <w:color w:val="1F323C"/>
                <w:sz w:val="20"/>
              </w:rPr>
              <w:t>Over months or years. Usually seen looking back.</w:t>
            </w:r>
          </w:p>
        </w:tc>
      </w:tr>
      <w:tr>
        <w:tc>
          <w:tcPr>
            <w:tcW w:type="dxa" w:w="1800"/>
            <w:tcMar>
              <w:top w:w="90" w:type="dxa"/>
              <w:start w:w="120" w:type="dxa"/>
              <w:bottom w:w="90" w:type="dxa"/>
              <w:end w:w="120" w:type="dxa"/>
            </w:tcMar>
            <w:vAlign w:val="center"/>
            <w:shd w:fill="F8FAFB" w:val="clear"/>
          </w:tcPr>
          <w:p>
            <w:pPr>
              <w:spacing w:before="0" w:after="0" w:line="259" w:lineRule="auto"/>
            </w:pPr>
            <w:r>
              <w:rPr>
                <w:rFonts w:ascii="Arial" w:hAnsi="Arial" w:eastAsia="Arial"/>
                <w:b/>
                <w:color w:val="1F323C"/>
                <w:sz w:val="20"/>
              </w:rPr>
            </w:r>
            <w:r>
              <w:rPr>
                <w:rFonts w:ascii="Arial" w:hAnsi="Arial" w:eastAsia="Arial"/>
                <w:b/>
                <w:color w:val="1F323C"/>
                <w:sz w:val="20"/>
              </w:rPr>
              <w:t>How it runs</w:t>
            </w:r>
          </w:p>
        </w:tc>
        <w:tc>
          <w:tcPr>
            <w:tcW w:type="dxa" w:w="4140"/>
            <w:tcMar>
              <w:top w:w="90" w:type="dxa"/>
              <w:start w:w="120" w:type="dxa"/>
              <w:bottom w:w="90" w:type="dxa"/>
              <w:end w:w="120" w:type="dxa"/>
            </w:tcMar>
            <w:vAlign w:val="center"/>
          </w:tcPr>
          <w:p>
            <w:pPr>
              <w:spacing w:before="0" w:after="0" w:line="259" w:lineRule="auto"/>
            </w:pPr>
            <w:r>
              <w:rPr>
                <w:rFonts w:ascii="Arial" w:hAnsi="Arial" w:eastAsia="Arial"/>
                <w:b w:val="0"/>
                <w:color w:val="1F323C"/>
                <w:sz w:val="20"/>
              </w:rPr>
            </w:r>
            <w:r>
              <w:rPr>
                <w:rFonts w:ascii="Arial" w:hAnsi="Arial" w:eastAsia="Arial"/>
                <w:b w:val="0"/>
                <w:color w:val="1F323C"/>
                <w:sz w:val="20"/>
              </w:rPr>
              <w:t>Comes and goes through the day. Often worse at night.</w:t>
            </w:r>
          </w:p>
        </w:tc>
        <w:tc>
          <w:tcPr>
            <w:tcW w:type="dxa" w:w="4140"/>
            <w:tcMar>
              <w:top w:w="90" w:type="dxa"/>
              <w:start w:w="120" w:type="dxa"/>
              <w:bottom w:w="90" w:type="dxa"/>
              <w:end w:w="120" w:type="dxa"/>
            </w:tcMar>
            <w:vAlign w:val="center"/>
          </w:tcPr>
          <w:p>
            <w:pPr>
              <w:spacing w:before="0" w:after="0" w:line="259" w:lineRule="auto"/>
            </w:pPr>
            <w:r>
              <w:rPr>
                <w:rFonts w:ascii="Arial" w:hAnsi="Arial" w:eastAsia="Arial"/>
                <w:b w:val="0"/>
                <w:color w:val="1F323C"/>
                <w:sz w:val="20"/>
              </w:rPr>
            </w:r>
            <w:r>
              <w:rPr>
                <w:rFonts w:ascii="Arial" w:hAnsi="Arial" w:eastAsia="Arial"/>
                <w:b w:val="0"/>
                <w:color w:val="1F323C"/>
                <w:sz w:val="20"/>
              </w:rPr>
              <w:t>Usually slower and steadier, though Lewy body dementia can fluctuate and vascular dementia may change stepwise.</w:t>
            </w:r>
          </w:p>
        </w:tc>
      </w:tr>
      <w:tr>
        <w:tc>
          <w:tcPr>
            <w:tcW w:type="dxa" w:w="1800"/>
            <w:tcMar>
              <w:top w:w="90" w:type="dxa"/>
              <w:start w:w="120" w:type="dxa"/>
              <w:bottom w:w="90" w:type="dxa"/>
              <w:end w:w="120" w:type="dxa"/>
            </w:tcMar>
            <w:vAlign w:val="center"/>
            <w:shd w:fill="F8FAFB" w:val="clear"/>
          </w:tcPr>
          <w:p>
            <w:pPr>
              <w:spacing w:before="0" w:after="0" w:line="259" w:lineRule="auto"/>
            </w:pPr>
            <w:r>
              <w:rPr>
                <w:rFonts w:ascii="Arial" w:hAnsi="Arial" w:eastAsia="Arial"/>
                <w:b/>
                <w:color w:val="1F323C"/>
                <w:sz w:val="20"/>
              </w:rPr>
            </w:r>
            <w:r>
              <w:rPr>
                <w:rFonts w:ascii="Arial" w:hAnsi="Arial" w:eastAsia="Arial"/>
                <w:b/>
                <w:color w:val="1F323C"/>
                <w:sz w:val="20"/>
              </w:rPr>
              <w:t>Attention</w:t>
            </w:r>
          </w:p>
        </w:tc>
        <w:tc>
          <w:tcPr>
            <w:tcW w:type="dxa" w:w="4140"/>
            <w:tcMar>
              <w:top w:w="90" w:type="dxa"/>
              <w:start w:w="120" w:type="dxa"/>
              <w:bottom w:w="90" w:type="dxa"/>
              <w:end w:w="120" w:type="dxa"/>
            </w:tcMar>
            <w:vAlign w:val="center"/>
          </w:tcPr>
          <w:p>
            <w:pPr>
              <w:spacing w:before="0" w:after="0" w:line="259" w:lineRule="auto"/>
            </w:pPr>
            <w:r>
              <w:rPr>
                <w:rFonts w:ascii="Arial" w:hAnsi="Arial" w:eastAsia="Arial"/>
                <w:b w:val="0"/>
                <w:color w:val="1F323C"/>
                <w:sz w:val="20"/>
              </w:rPr>
            </w:r>
            <w:r>
              <w:rPr>
                <w:rFonts w:ascii="Arial" w:hAnsi="Arial" w:eastAsia="Arial"/>
                <w:b w:val="0"/>
                <w:color w:val="1F323C"/>
                <w:sz w:val="20"/>
              </w:rPr>
              <w:t>Poor. Conversations fall apart.</w:t>
            </w:r>
          </w:p>
        </w:tc>
        <w:tc>
          <w:tcPr>
            <w:tcW w:type="dxa" w:w="4140"/>
            <w:tcMar>
              <w:top w:w="90" w:type="dxa"/>
              <w:start w:w="120" w:type="dxa"/>
              <w:bottom w:w="90" w:type="dxa"/>
              <w:end w:w="120" w:type="dxa"/>
            </w:tcMar>
            <w:vAlign w:val="center"/>
          </w:tcPr>
          <w:p>
            <w:pPr>
              <w:spacing w:before="0" w:after="0" w:line="259" w:lineRule="auto"/>
            </w:pPr>
            <w:r>
              <w:rPr>
                <w:rFonts w:ascii="Arial" w:hAnsi="Arial" w:eastAsia="Arial"/>
                <w:b w:val="0"/>
                <w:color w:val="1F323C"/>
                <w:sz w:val="20"/>
              </w:rPr>
            </w:r>
            <w:r>
              <w:rPr>
                <w:rFonts w:ascii="Arial" w:hAnsi="Arial" w:eastAsia="Arial"/>
                <w:b w:val="0"/>
                <w:color w:val="1F323C"/>
                <w:sz w:val="20"/>
              </w:rPr>
              <w:t>Usually holds in early Alzheimer's disease; patterns differ in other dementias.</w:t>
            </w:r>
          </w:p>
        </w:tc>
      </w:tr>
      <w:tr>
        <w:tc>
          <w:tcPr>
            <w:tcW w:type="dxa" w:w="1800"/>
            <w:tcMar>
              <w:top w:w="90" w:type="dxa"/>
              <w:start w:w="120" w:type="dxa"/>
              <w:bottom w:w="90" w:type="dxa"/>
              <w:end w:w="120" w:type="dxa"/>
            </w:tcMar>
            <w:vAlign w:val="center"/>
            <w:shd w:fill="F8FAFB" w:val="clear"/>
          </w:tcPr>
          <w:p>
            <w:pPr>
              <w:spacing w:before="0" w:after="0" w:line="259" w:lineRule="auto"/>
            </w:pPr>
            <w:r>
              <w:rPr>
                <w:rFonts w:ascii="Arial" w:hAnsi="Arial" w:eastAsia="Arial"/>
                <w:b/>
                <w:color w:val="1F323C"/>
                <w:sz w:val="20"/>
              </w:rPr>
            </w:r>
            <w:r>
              <w:rPr>
                <w:rFonts w:ascii="Arial" w:hAnsi="Arial" w:eastAsia="Arial"/>
                <w:b/>
                <w:color w:val="1F323C"/>
                <w:sz w:val="20"/>
              </w:rPr>
              <w:t>Alertness</w:t>
            </w:r>
          </w:p>
        </w:tc>
        <w:tc>
          <w:tcPr>
            <w:tcW w:type="dxa" w:w="4140"/>
            <w:tcMar>
              <w:top w:w="90" w:type="dxa"/>
              <w:start w:w="120" w:type="dxa"/>
              <w:bottom w:w="90" w:type="dxa"/>
              <w:end w:w="120" w:type="dxa"/>
            </w:tcMar>
            <w:vAlign w:val="center"/>
          </w:tcPr>
          <w:p>
            <w:pPr>
              <w:spacing w:before="0" w:after="0" w:line="259" w:lineRule="auto"/>
            </w:pPr>
            <w:r>
              <w:rPr>
                <w:rFonts w:ascii="Arial" w:hAnsi="Arial" w:eastAsia="Arial"/>
                <w:b w:val="0"/>
                <w:color w:val="1F323C"/>
                <w:sz w:val="20"/>
              </w:rPr>
            </w:r>
            <w:r>
              <w:rPr>
                <w:rFonts w:ascii="Arial" w:hAnsi="Arial" w:eastAsia="Arial"/>
                <w:b w:val="0"/>
                <w:color w:val="1F323C"/>
                <w:sz w:val="20"/>
              </w:rPr>
              <w:t>Often changed: agitated and restless, or sleepy and less responsive. Hard to wake is an emergency.</w:t>
            </w:r>
          </w:p>
        </w:tc>
        <w:tc>
          <w:tcPr>
            <w:tcW w:type="dxa" w:w="4140"/>
            <w:tcMar>
              <w:top w:w="90" w:type="dxa"/>
              <w:start w:w="120" w:type="dxa"/>
              <w:bottom w:w="90" w:type="dxa"/>
              <w:end w:w="120" w:type="dxa"/>
            </w:tcMar>
            <w:vAlign w:val="center"/>
          </w:tcPr>
          <w:p>
            <w:pPr>
              <w:spacing w:before="0" w:after="0" w:line="259" w:lineRule="auto"/>
            </w:pPr>
            <w:r>
              <w:rPr>
                <w:rFonts w:ascii="Arial" w:hAnsi="Arial" w:eastAsia="Arial"/>
                <w:b w:val="0"/>
                <w:color w:val="1F323C"/>
                <w:sz w:val="20"/>
              </w:rPr>
            </w:r>
            <w:r>
              <w:rPr>
                <w:rFonts w:ascii="Arial" w:hAnsi="Arial" w:eastAsia="Arial"/>
                <w:b w:val="0"/>
                <w:color w:val="1F323C"/>
                <w:sz w:val="20"/>
              </w:rPr>
              <w:t>Usually normal in early Alzheimer's disease; patterns differ in other dementias.</w:t>
            </w:r>
          </w:p>
        </w:tc>
      </w:tr>
      <w:tr>
        <w:tc>
          <w:tcPr>
            <w:tcW w:type="dxa" w:w="1800"/>
            <w:tcMar>
              <w:top w:w="90" w:type="dxa"/>
              <w:start w:w="120" w:type="dxa"/>
              <w:bottom w:w="90" w:type="dxa"/>
              <w:end w:w="120" w:type="dxa"/>
            </w:tcMar>
            <w:vAlign w:val="center"/>
            <w:shd w:fill="F8FAFB" w:val="clear"/>
          </w:tcPr>
          <w:p>
            <w:pPr>
              <w:spacing w:before="0" w:after="0" w:line="259" w:lineRule="auto"/>
            </w:pPr>
            <w:r>
              <w:rPr>
                <w:rFonts w:ascii="Arial" w:hAnsi="Arial" w:eastAsia="Arial"/>
                <w:b/>
                <w:color w:val="1F323C"/>
                <w:sz w:val="20"/>
              </w:rPr>
            </w:r>
            <w:r>
              <w:rPr>
                <w:rFonts w:ascii="Arial" w:hAnsi="Arial" w:eastAsia="Arial"/>
                <w:b/>
                <w:color w:val="1F323C"/>
                <w:sz w:val="20"/>
              </w:rPr>
              <w:t>Hallucinations</w:t>
            </w:r>
          </w:p>
        </w:tc>
        <w:tc>
          <w:tcPr>
            <w:tcW w:type="dxa" w:w="4140"/>
            <w:tcMar>
              <w:top w:w="90" w:type="dxa"/>
              <w:start w:w="120" w:type="dxa"/>
              <w:bottom w:w="90" w:type="dxa"/>
              <w:end w:w="120" w:type="dxa"/>
            </w:tcMar>
            <w:vAlign w:val="center"/>
          </w:tcPr>
          <w:p>
            <w:pPr>
              <w:spacing w:before="0" w:after="0" w:line="259" w:lineRule="auto"/>
            </w:pPr>
            <w:r>
              <w:rPr>
                <w:rFonts w:ascii="Arial" w:hAnsi="Arial" w:eastAsia="Arial"/>
                <w:b w:val="0"/>
                <w:color w:val="1F323C"/>
                <w:sz w:val="20"/>
              </w:rPr>
            </w:r>
            <w:r>
              <w:rPr>
                <w:rFonts w:ascii="Arial" w:hAnsi="Arial" w:eastAsia="Arial"/>
                <w:b w:val="0"/>
                <w:color w:val="1F323C"/>
                <w:sz w:val="20"/>
              </w:rPr>
              <w:t>Common, often visual and frightening.</w:t>
            </w:r>
          </w:p>
        </w:tc>
        <w:tc>
          <w:tcPr>
            <w:tcW w:type="dxa" w:w="4140"/>
            <w:tcMar>
              <w:top w:w="90" w:type="dxa"/>
              <w:start w:w="120" w:type="dxa"/>
              <w:bottom w:w="90" w:type="dxa"/>
              <w:end w:w="120" w:type="dxa"/>
            </w:tcMar>
            <w:vAlign w:val="center"/>
          </w:tcPr>
          <w:p>
            <w:pPr>
              <w:spacing w:before="0" w:after="0" w:line="259" w:lineRule="auto"/>
            </w:pPr>
            <w:r>
              <w:rPr>
                <w:rFonts w:ascii="Arial" w:hAnsi="Arial" w:eastAsia="Arial"/>
                <w:b w:val="0"/>
                <w:color w:val="1F323C"/>
                <w:sz w:val="20"/>
              </w:rPr>
            </w:r>
            <w:r>
              <w:rPr>
                <w:rFonts w:ascii="Arial" w:hAnsi="Arial" w:eastAsia="Arial"/>
                <w:b w:val="0"/>
                <w:color w:val="1F323C"/>
                <w:sz w:val="20"/>
              </w:rPr>
              <w:t>Less common overall. Lewy body dementia can cause hallucinations.</w:t>
            </w:r>
          </w:p>
        </w:tc>
      </w:tr>
      <w:tr>
        <w:tc>
          <w:tcPr>
            <w:tcW w:type="dxa" w:w="1800"/>
            <w:tcMar>
              <w:top w:w="90" w:type="dxa"/>
              <w:start w:w="120" w:type="dxa"/>
              <w:bottom w:w="90" w:type="dxa"/>
              <w:end w:w="120" w:type="dxa"/>
            </w:tcMar>
            <w:vAlign w:val="center"/>
            <w:shd w:fill="F8FAFB" w:val="clear"/>
          </w:tcPr>
          <w:p>
            <w:pPr>
              <w:spacing w:before="0" w:after="0" w:line="259" w:lineRule="auto"/>
            </w:pPr>
            <w:r>
              <w:rPr>
                <w:rFonts w:ascii="Arial" w:hAnsi="Arial" w:eastAsia="Arial"/>
                <w:b/>
                <w:color w:val="1F323C"/>
                <w:sz w:val="20"/>
              </w:rPr>
            </w:r>
            <w:r>
              <w:rPr>
                <w:rFonts w:ascii="Arial" w:hAnsi="Arial" w:eastAsia="Arial"/>
                <w:b/>
                <w:color w:val="1F323C"/>
                <w:sz w:val="20"/>
              </w:rPr>
              <w:t>Cause</w:t>
            </w:r>
          </w:p>
        </w:tc>
        <w:tc>
          <w:tcPr>
            <w:tcW w:type="dxa" w:w="4140"/>
            <w:tcMar>
              <w:top w:w="90" w:type="dxa"/>
              <w:start w:w="120" w:type="dxa"/>
              <w:bottom w:w="90" w:type="dxa"/>
              <w:end w:w="120" w:type="dxa"/>
            </w:tcMar>
            <w:vAlign w:val="center"/>
          </w:tcPr>
          <w:p>
            <w:pPr>
              <w:spacing w:before="0" w:after="0" w:line="259" w:lineRule="auto"/>
            </w:pPr>
            <w:r>
              <w:rPr>
                <w:rFonts w:ascii="Arial" w:hAnsi="Arial" w:eastAsia="Arial"/>
                <w:b w:val="0"/>
                <w:color w:val="1F323C"/>
                <w:sz w:val="20"/>
              </w:rPr>
            </w:r>
            <w:r>
              <w:rPr>
                <w:rFonts w:ascii="Arial" w:hAnsi="Arial" w:eastAsia="Arial"/>
                <w:b w:val="0"/>
                <w:color w:val="1F323C"/>
                <w:sz w:val="20"/>
              </w:rPr>
              <w:t>A new physical problem: infection, medication change, dehydration, surgery, pain.</w:t>
            </w:r>
          </w:p>
        </w:tc>
        <w:tc>
          <w:tcPr>
            <w:tcW w:type="dxa" w:w="4140"/>
            <w:tcMar>
              <w:top w:w="90" w:type="dxa"/>
              <w:start w:w="120" w:type="dxa"/>
              <w:bottom w:w="90" w:type="dxa"/>
              <w:end w:w="120" w:type="dxa"/>
            </w:tcMar>
            <w:vAlign w:val="center"/>
          </w:tcPr>
          <w:p>
            <w:pPr>
              <w:spacing w:before="0" w:after="0" w:line="259" w:lineRule="auto"/>
            </w:pPr>
            <w:r>
              <w:rPr>
                <w:rFonts w:ascii="Arial" w:hAnsi="Arial" w:eastAsia="Arial"/>
                <w:b w:val="0"/>
                <w:color w:val="1F323C"/>
                <w:sz w:val="20"/>
              </w:rPr>
            </w:r>
            <w:r>
              <w:rPr>
                <w:rFonts w:ascii="Arial" w:hAnsi="Arial" w:eastAsia="Arial"/>
                <w:b w:val="0"/>
                <w:color w:val="1F323C"/>
                <w:sz w:val="20"/>
              </w:rPr>
              <w:t>Diseases of the brain, most often Alzheimer's disease.</w:t>
            </w:r>
          </w:p>
        </w:tc>
      </w:tr>
      <w:tr>
        <w:tc>
          <w:tcPr>
            <w:tcW w:type="dxa" w:w="1800"/>
            <w:tcMar>
              <w:top w:w="90" w:type="dxa"/>
              <w:start w:w="120" w:type="dxa"/>
              <w:bottom w:w="90" w:type="dxa"/>
              <w:end w:w="120" w:type="dxa"/>
            </w:tcMar>
            <w:vAlign w:val="center"/>
            <w:shd w:fill="F8FAFB" w:val="clear"/>
          </w:tcPr>
          <w:p>
            <w:pPr>
              <w:spacing w:before="0" w:after="0" w:line="259" w:lineRule="auto"/>
            </w:pPr>
            <w:r>
              <w:rPr>
                <w:rFonts w:ascii="Arial" w:hAnsi="Arial" w:eastAsia="Arial"/>
                <w:b/>
                <w:color w:val="1F323C"/>
                <w:sz w:val="20"/>
              </w:rPr>
            </w:r>
            <w:r>
              <w:rPr>
                <w:rFonts w:ascii="Arial" w:hAnsi="Arial" w:eastAsia="Arial"/>
                <w:b/>
                <w:color w:val="1F323C"/>
                <w:sz w:val="20"/>
              </w:rPr>
              <w:t>What happens next</w:t>
            </w:r>
          </w:p>
        </w:tc>
        <w:tc>
          <w:tcPr>
            <w:tcW w:type="dxa" w:w="4140"/>
            <w:tcMar>
              <w:top w:w="90" w:type="dxa"/>
              <w:start w:w="120" w:type="dxa"/>
              <w:bottom w:w="90" w:type="dxa"/>
              <w:end w:w="120" w:type="dxa"/>
            </w:tcMar>
            <w:vAlign w:val="center"/>
          </w:tcPr>
          <w:p>
            <w:pPr>
              <w:spacing w:before="0" w:after="0" w:line="259" w:lineRule="auto"/>
            </w:pPr>
            <w:r>
              <w:rPr>
                <w:rFonts w:ascii="Arial" w:hAnsi="Arial" w:eastAsia="Arial"/>
                <w:b w:val="0"/>
                <w:color w:val="1F323C"/>
                <w:sz w:val="20"/>
              </w:rPr>
            </w:r>
            <w:r>
              <w:rPr>
                <w:rFonts w:ascii="Arial" w:hAnsi="Arial" w:eastAsia="Arial"/>
                <w:b w:val="0"/>
                <w:color w:val="1F323C"/>
                <w:sz w:val="20"/>
              </w:rPr>
              <w:t>Usually improves when the causes are treated, though recovery can be slow.</w:t>
            </w:r>
          </w:p>
        </w:tc>
        <w:tc>
          <w:tcPr>
            <w:tcW w:type="dxa" w:w="4140"/>
            <w:tcMar>
              <w:top w:w="90" w:type="dxa"/>
              <w:start w:w="120" w:type="dxa"/>
              <w:bottom w:w="90" w:type="dxa"/>
              <w:end w:w="120" w:type="dxa"/>
            </w:tcMar>
            <w:vAlign w:val="center"/>
          </w:tcPr>
          <w:p>
            <w:pPr>
              <w:spacing w:before="0" w:after="0" w:line="259" w:lineRule="auto"/>
            </w:pPr>
            <w:r>
              <w:rPr>
                <w:rFonts w:ascii="Arial" w:hAnsi="Arial" w:eastAsia="Arial"/>
                <w:b w:val="0"/>
                <w:color w:val="1F323C"/>
                <w:sz w:val="20"/>
              </w:rPr>
            </w:r>
            <w:r>
              <w:rPr>
                <w:rFonts w:ascii="Arial" w:hAnsi="Arial" w:eastAsia="Arial"/>
                <w:b w:val="0"/>
                <w:color w:val="1F323C"/>
                <w:sz w:val="20"/>
              </w:rPr>
              <w:t>Usually progresses slowly; vascular dementia may change stepwise. No cure at present.</w:t>
            </w:r>
          </w:p>
        </w:tc>
      </w:tr>
    </w:tbl>
    <w:p>
      <w:pPr>
        <w:pStyle w:val="Heading2"/>
      </w:pPr>
      <w:r>
        <w:rPr>
          <w:rFonts w:ascii="Arial" w:hAnsi="Arial" w:eastAsia="Arial"/>
        </w:rPr>
        <w:t>When the person already has dementia</w:t>
      </w:r>
    </w:p>
    <w:p>
      <w:pPr/>
      <w:r>
        <w:rPr>
          <w:rFonts w:ascii="Arial" w:hAnsi="Arial" w:eastAsia="Arial"/>
        </w:rPr>
        <w:t>Up to half of older people with dementia develop delirium in hospital. A sudden drop below the person's normal level should be treated as possible delirium or another acute medical problem until assessed. Lewy body dementia can fluctuate and cause hallucinations; vascular dementia may change stepwise. Say it plainly: "She has dementia, but this is different. On Tuesday she was feeding herself and chatting. Today she can't stay awake. Please could she be assessed for delirium?"</w:t>
      </w:r>
    </w:p>
    <w:p>
      <w:pPr>
        <w:pStyle w:val="ActionStrip"/>
        <w:shd w:val="clear" w:fill="C24E12"/>
        <w:keepLines/>
        <w:pBdr>
          <w:top w:val="single" w:sz="8" w:space="5" w:color="C24E12"/>
          <w:bottom w:val="single" w:sz="8" w:space="5" w:color="C24E12"/>
          <w:left w:val="single" w:sz="8" w:space="5" w:color="C24E12"/>
          <w:right w:val="single" w:sz="8" w:space="5" w:color="C24E12"/>
        </w:pBdr>
      </w:pPr>
      <w:r>
        <w:rPr>
          <w:rFonts w:ascii="Arial" w:hAnsi="Arial" w:eastAsia="Arial"/>
          <w:b/>
          <w:color w:val="FFFFFF"/>
          <w:sz w:val="23"/>
        </w:rPr>
        <w:t>New sudden confusion needs medical assessment now. Contact the urgent or emergency medical service where the person is. In England, call 999 or go to A&amp;E. In Scotland, contact the GP urgently if open; otherwise phone NHS 24 on 111. Outside the UK, follow local health-service guidance. If the person is hard to wake, has collapsed, has stroke signs or is struggling to breathe, call the local emergency number immediately (999 in the UK).</w:t>
      </w:r>
    </w:p>
    <w:p>
      <w:pPr>
        <w:pStyle w:val="SourceText"/>
        <w:keepLines/>
        <w:pBdr>
          <w:top w:val="single" w:sz="6" w:space="5" w:color="DCE7EC"/>
        </w:pBdr>
      </w:pPr>
      <w:r>
        <w:rPr>
          <w:rFonts w:ascii="Arial" w:hAnsi="Arial" w:eastAsia="Arial"/>
          <w:color w:val="51636E"/>
          <w:sz w:val="17"/>
        </w:rPr>
        <w:t>From deliriumsupport.com, an independent educational resource by Professor Alasdair MacLullich, Professor of Geriatric Medicine, University of Edinburgh. It is not an official NHS or University publication. New sudden confusion needs medical assessment now. Contact the urgent or emergency medical service where the person is. In England, call 999 or go to A&amp;E. In Scotland, contact the GP urgently if open; otherwise phone NHS 24 on 111. Outside the UK, follow local health-service guidance. If someone is hard to wake or very unwell, call the local emergency number immediately (999 in the UK). Last reviewed July 2026. Licensed under CC BY 4.0.</w:t>
      </w:r>
    </w:p>
    <w:sectPr>
      <w:headerReference w:type="default" r:id="rId9"/>
      <w:footerReference w:type="default" r:id="rId10"/>
      <w:pgSz w:w="11906" w:h="16838"/>
      <w:pgMar w:top="850" w:right="850" w:bottom="850" w:left="850"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EditableNote"/>
      <w:shd w:val="clear" w:fill="F1F3F4"/>
      <w:keepLines/>
      <w:pBdr>
        <w:left w:val="single" w:sz="14" w:space="5" w:color="0077B6"/>
      </w:pBdr>
    </w:pPr>
    <w:r/>
    <w:r>
      <w:rPr>
        <w:rFonts w:ascii="Arial" w:hAnsi="Arial" w:eastAsia="Arial"/>
        <w:b/>
        <w:color w:val="005A8D"/>
        <w:sz w:val="17"/>
      </w:rPr>
      <w:t>Editable staff copy:</w:t>
    </w:r>
    <w:r>
      <w:rPr>
        <w:rFonts w:ascii="Arial" w:hAnsi="Arial" w:eastAsia="Arial"/>
        <w:color w:val="1F323C"/>
        <w:sz w:val="17"/>
      </w:rPr>
      <w:t xml:space="preserve"> please retain the source, review date and urgent advice. Obtain local approval before adapting or displaying this resource.</w:t>
    </w:r>
  </w:p>
  <w:p>
    <w:pPr>
      <w:spacing w:before="20" w:after="0"/>
      <w:jc w:val="right"/>
    </w:pPr>
    <w:r>
      <w:rPr>
        <w:rFonts w:ascii="Arial" w:hAnsi="Arial" w:eastAsia="Arial"/>
        <w:color w:val="51636E"/>
        <w:sz w:val="17"/>
      </w:rPr>
      <w:t xml:space="preserve">Page </w:t>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10205" w:val="right"/>
      </w:tabs>
      <w:spacing w:before="0" w:after="0"/>
    </w:pPr>
    <w:r/>
    <w:r>
      <w:rPr>
        <w:rFonts w:ascii="Arial" w:hAnsi="Arial" w:eastAsia="Arial"/>
        <w:b/>
        <w:color w:val="142A33"/>
        <w:sz w:val="23"/>
      </w:rPr>
      <w:t>Delirium Support</w:t>
    </w:r>
    <w:r>
      <w:rPr>
        <w:rFonts w:ascii="Arial" w:hAnsi="Arial" w:eastAsia="Arial"/>
        <w:color w:val="51636E"/>
        <w:sz w:val="18"/>
      </w:rPr>
      <w:tab/>
    </w:r>
    <w:r>
      <w:rPr>
        <w:rFonts w:ascii="Arial" w:hAnsi="Arial" w:eastAsia="Arial"/>
        <w:color w:val="51636E"/>
        <w:sz w:val="18"/>
      </w:rPr>
      <w:t>deliriumsupport.com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0">
    <w:multiLevelType w:val="singleLevel"/>
    <w:lvl w:ilvl="0">
      <w:start w:val="1"/>
      <w:numFmt w:val="decimal"/>
      <w:lvlText w:val="%1."/>
      <w:lvlJc w:val="left"/>
      <w:pPr>
        <w:tabs>
          <w:tab w:val="num" w:pos="605"/>
        </w:tabs>
        <w:ind w:left="605" w:hanging="345"/>
        <w:spacing w:after="60" w:line="276" w:lineRule="auto"/>
      </w:pPr>
    </w:lvl>
  </w:abstractNum>
  <w:abstractNum w:abstractNumId="9">
    <w:multiLevelType w:val="singleLevel"/>
    <w:lvl w:ilvl="0">
      <w:start w:val="1"/>
      <w:numFmt w:val="bullet"/>
      <w:lvlText w:val="•"/>
      <w:lvlJc w:val="left"/>
      <w:pPr>
        <w:tabs>
          <w:tab w:val="num" w:pos="605"/>
        </w:tabs>
        <w:ind w:left="605" w:hanging="345"/>
        <w:spacing w:after="60" w:line="276" w:lineRule="auto"/>
      </w:pPr>
      <w:rPr>
        <w:rFonts w:ascii="Arial" w:hAnsi="Arial"/>
      </w:rPr>
    </w:lvl>
  </w:abstractNum>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76" w:lineRule="auto"/>
    </w:pPr>
    <w:rPr>
      <w:rFonts w:ascii="Arial" w:hAnsi="Arial"/>
      <w:color w:val="1F323C"/>
      <w:sz w:val="23"/>
      <w:lang w:val="en-GB" w:eastAsia="en-GB"/>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120" w:line="252" w:lineRule="auto"/>
      <w:outlineLvl w:val="0"/>
    </w:pPr>
    <w:rPr>
      <w:rFonts w:asciiTheme="majorHAnsi" w:eastAsiaTheme="majorEastAsia" w:hAnsiTheme="majorHAnsi" w:cstheme="majorBidi" w:ascii="Arial" w:hAnsi="Arial"/>
      <w:b/>
      <w:bCs/>
      <w:color w:val="142A33"/>
      <w:sz w:val="32"/>
      <w:szCs w:val="28"/>
      <w:lang w:val="en-GB" w:eastAsia="en-GB"/>
    </w:rPr>
  </w:style>
  <w:style w:type="paragraph" w:styleId="Heading2">
    <w:name w:val="heading 2"/>
    <w:basedOn w:val="Normal"/>
    <w:next w:val="Normal"/>
    <w:link w:val="Heading2Char"/>
    <w:uiPriority w:val="9"/>
    <w:unhideWhenUsed/>
    <w:qFormat/>
    <w:rsid w:val="00FC693F"/>
    <w:pPr>
      <w:keepNext/>
      <w:keepLines/>
      <w:spacing w:before="200" w:after="80" w:line="252" w:lineRule="auto"/>
      <w:outlineLvl w:val="1"/>
    </w:pPr>
    <w:rPr>
      <w:rFonts w:asciiTheme="majorHAnsi" w:eastAsiaTheme="majorEastAsia" w:hAnsiTheme="majorHAnsi" w:cstheme="majorBidi" w:ascii="Arial" w:hAnsi="Arial"/>
      <w:b/>
      <w:bCs/>
      <w:color w:val="005A8D"/>
      <w:sz w:val="26"/>
      <w:szCs w:val="26"/>
      <w:lang w:val="en-GB" w:eastAsia="en-GB"/>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rial" w:hAnsi="Arial"/>
      <w:b/>
      <w:bCs/>
      <w:color w:val="142A33"/>
      <w:sz w:val="23"/>
      <w:lang w:val="en-GB" w:eastAsia="en-GB"/>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keepLines/>
      <w:pBdr>
        <w:bottom w:val="single" w:sz="8" w:space="4" w:color="4F81BD" w:themeColor="accent1"/>
      </w:pBdr>
      <w:spacing w:after="160" w:line="252" w:lineRule="auto" w:before="0"/>
      <w:contextualSpacing/>
    </w:pPr>
    <w:rPr>
      <w:rFonts w:asciiTheme="majorHAnsi" w:eastAsiaTheme="majorEastAsia" w:hAnsiTheme="majorHAnsi" w:cstheme="majorBidi" w:ascii="Arial" w:hAnsi="Arial"/>
      <w:b/>
      <w:color w:val="142A33"/>
      <w:spacing w:val="5"/>
      <w:kern w:val="28"/>
      <w:sz w:val="48"/>
      <w:szCs w:val="52"/>
      <w:lang w:val="en-GB" w:eastAsia="en-GB"/>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80" w:line="276" w:lineRule="auto"/>
    </w:pPr>
    <w:rPr>
      <w:rFonts w:asciiTheme="majorHAnsi" w:eastAsiaTheme="majorEastAsia" w:hAnsiTheme="majorHAnsi" w:cstheme="majorBidi" w:ascii="Arial" w:hAnsi="Arial"/>
      <w:i w:val="0"/>
      <w:iCs/>
      <w:color w:val="51636E"/>
      <w:spacing w:val="15"/>
      <w:sz w:val="23"/>
      <w:szCs w:val="24"/>
      <w:lang w:val="en-GB" w:eastAsia="en-GB"/>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spacing w:after="60" w:line="276" w:lineRule="auto"/>
      <w:ind w:left="720"/>
      <w:contextualSpacing/>
    </w:pPr>
    <w:rPr>
      <w:rFonts w:ascii="Arial" w:hAnsi="Arial"/>
      <w:color w:val="1F323C"/>
      <w:sz w:val="23"/>
      <w:lang w:val="en-GB" w:eastAsia="en-GB"/>
    </w:r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76" w:lineRule="auto"/>
      <w:contextualSpacing/>
    </w:pPr>
    <w:rPr>
      <w:rFonts w:ascii="Arial" w:hAnsi="Arial"/>
      <w:color w:val="1F323C"/>
      <w:sz w:val="23"/>
      <w:lang w:val="en-GB" w:eastAsia="en-GB"/>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76" w:lineRule="auto"/>
      <w:contextualSpacing/>
    </w:pPr>
    <w:rPr>
      <w:rFonts w:ascii="Arial" w:hAnsi="Arial"/>
      <w:color w:val="1F323C"/>
      <w:sz w:val="23"/>
      <w:lang w:val="en-GB" w:eastAsia="en-GB"/>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urceText">
    <w:name w:val="SourceText"/>
    <w:pPr>
      <w:widowControl/>
      <w:spacing w:before="0" w:after="60" w:line="259" w:lineRule="auto"/>
    </w:pPr>
    <w:rPr>
      <w:rFonts w:ascii="Arial" w:hAnsi="Arial"/>
      <w:b w:val="0"/>
      <w:color w:val="51636E"/>
      <w:sz w:val="17"/>
      <w:lang w:val="en-GB" w:eastAsia="en-GB"/>
    </w:rPr>
  </w:style>
  <w:style w:type="paragraph" w:customStyle="1" w:styleId="EditableNote">
    <w:name w:val="EditableNote"/>
    <w:pPr>
      <w:widowControl/>
      <w:spacing w:before="0" w:after="60" w:line="259" w:lineRule="auto"/>
    </w:pPr>
    <w:rPr>
      <w:rFonts w:ascii="Arial" w:hAnsi="Arial"/>
      <w:b w:val="0"/>
      <w:color w:val="1F323C"/>
      <w:sz w:val="17"/>
      <w:lang w:val="en-GB" w:eastAsia="en-GB"/>
    </w:rPr>
  </w:style>
  <w:style w:type="paragraph" w:customStyle="1" w:styleId="Script">
    <w:name w:val="Script"/>
    <w:pPr>
      <w:widowControl/>
      <w:spacing w:before="0" w:after="120" w:line="276" w:lineRule="auto"/>
    </w:pPr>
    <w:rPr>
      <w:rFonts w:ascii="Arial" w:hAnsi="Arial"/>
      <w:b w:val="0"/>
      <w:color w:val="1F323C"/>
      <w:sz w:val="22"/>
      <w:lang w:val="en-GB" w:eastAsia="en-GB"/>
    </w:rPr>
  </w:style>
  <w:style w:type="paragraph" w:customStyle="1" w:styleId="ActionStrip">
    <w:name w:val="ActionStrip"/>
    <w:pPr>
      <w:widowControl/>
      <w:spacing w:before="0" w:after="120" w:line="259" w:lineRule="auto"/>
    </w:pPr>
    <w:rPr>
      <w:rFonts w:ascii="Arial" w:hAnsi="Arial"/>
      <w:b/>
      <w:color w:val="FFFFFF"/>
      <w:sz w:val="23"/>
      <w:lang w:val="en-GB" w:eastAsia="en-GB"/>
    </w:rPr>
  </w:style>
  <w:style w:type="paragraph" w:customStyle="1" w:styleId="FormLine">
    <w:name w:val="FormLine"/>
    <w:pPr>
      <w:widowControl/>
      <w:spacing w:before="0" w:after="100" w:line="240" w:lineRule="auto"/>
    </w:pPr>
    <w:rPr>
      <w:rFonts w:ascii="Arial" w:hAnsi="Arial"/>
      <w:b w:val="0"/>
      <w:color w:val="1F323C"/>
      <w:sz w:val="21"/>
      <w:lang w:val="en-GB"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Delirium or dementia? The differences at a glance</dc:title>
  <dc:subject>Editable Delirium Support family and carer resource for local adaptation</dc:subject>
  <dc:creator/>
  <cp:keywords>delirium, family, carer, healthcare, editable resource</cp:keywords>
  <dc:description>Source wording retained from the final reviewed Delirium Support PDF source.</dc:description>
  <cp:lastModifiedBy/>
  <cp:revision>1</cp:revision>
  <dcterms:created xsi:type="dcterms:W3CDTF">2013-12-23T23:15:00Z</dcterms:created>
  <dcterms:modified xsi:type="dcterms:W3CDTF">2013-12-23T23:15:00Z</dcterms:modified>
  <cp:category>Delirium Support staff resources</cp:category>
</cp:coreProperties>
</file>