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rFonts w:ascii="Arial" w:hAnsi="Arial" w:eastAsia="Arial"/>
        </w:rPr>
        <w:t>Delirium action guide: what to look for, what to do</w:t>
      </w:r>
    </w:p>
    <w:p>
      <w:pPr>
        <w:pStyle w:val="Subtitle"/>
      </w:pPr>
      <w:r>
        <w:rPr>
          <w:rFonts w:ascii="Arial" w:hAnsi="Arial" w:eastAsia="Arial"/>
        </w:rPr>
        <w:t>Delirium is a sudden change in a person's thinking, memory or alertness, caused by illness, medicines, dehydration, pain or surgery. It needs medical assessment now. It is also common: about 1 in 4 older people in hospital.</w:t>
      </w:r>
    </w:p>
    <w:p>
      <w:pPr>
        <w:pStyle w:val="Heading2"/>
      </w:pPr>
      <w:r>
        <w:rPr>
          <w:rFonts w:ascii="Arial" w:hAnsi="Arial" w:eastAsia="Arial"/>
        </w:rPr>
        <w:t>The common signs</w:t>
      </w:r>
    </w:p>
    <w:p>
      <w:pPr>
        <w:pStyle w:val="ListBullet"/>
        <w:numPr>
          <w:ilvl w:val="0"/>
          <w:numId w:val="10"/>
        </w:numPr>
      </w:pPr>
      <w:r>
        <w:rPr>
          <w:rFonts w:ascii="Arial" w:hAnsi="Arial" w:eastAsia="Arial"/>
        </w:rPr>
        <w:t>Muddled about time and place, or clearly more confused than normal</w:t>
      </w:r>
    </w:p>
    <w:p>
      <w:pPr>
        <w:pStyle w:val="ListBullet"/>
        <w:numPr>
          <w:ilvl w:val="0"/>
          <w:numId w:val="10"/>
        </w:numPr>
      </w:pPr>
      <w:r>
        <w:rPr>
          <w:rFonts w:ascii="Arial" w:hAnsi="Arial" w:eastAsia="Arial"/>
        </w:rPr>
        <w:t>Unusual drowsiness: drifting off mid-sentence or responding less than usual. Hard to wake or barely responding is an emergency</w:t>
      </w:r>
    </w:p>
    <w:p>
      <w:pPr>
        <w:pStyle w:val="ListBullet"/>
        <w:numPr>
          <w:ilvl w:val="0"/>
          <w:numId w:val="10"/>
        </w:numPr>
      </w:pPr>
      <w:r>
        <w:rPr>
          <w:rFonts w:ascii="Arial" w:hAnsi="Arial" w:eastAsia="Arial"/>
        </w:rPr>
        <w:t>Restlessness or agitation, sometimes fear or anger</w:t>
      </w:r>
    </w:p>
    <w:p>
      <w:pPr>
        <w:pStyle w:val="ListBullet"/>
        <w:numPr>
          <w:ilvl w:val="0"/>
          <w:numId w:val="10"/>
        </w:numPr>
      </w:pPr>
      <w:r>
        <w:rPr>
          <w:rFonts w:ascii="Arial" w:hAnsi="Arial" w:eastAsia="Arial"/>
        </w:rPr>
        <w:t>New suspicion of family, carers or staff</w:t>
      </w:r>
    </w:p>
    <w:p>
      <w:pPr>
        <w:pStyle w:val="ListBullet"/>
        <w:numPr>
          <w:ilvl w:val="0"/>
          <w:numId w:val="10"/>
        </w:numPr>
      </w:pPr>
      <w:r>
        <w:rPr>
          <w:rFonts w:ascii="Arial" w:hAnsi="Arial" w:eastAsia="Arial"/>
        </w:rPr>
        <w:t>Seeing or hearing things that are not there</w:t>
      </w:r>
    </w:p>
    <w:p>
      <w:pPr>
        <w:pStyle w:val="ListBullet"/>
        <w:numPr>
          <w:ilvl w:val="0"/>
          <w:numId w:val="10"/>
        </w:numPr>
      </w:pPr>
      <w:r>
        <w:rPr>
          <w:rFonts w:ascii="Arial" w:hAnsi="Arial" w:eastAsia="Arial"/>
        </w:rPr>
        <w:t>Sleep turned upside down: awake at night, asleep by day</w:t>
      </w:r>
    </w:p>
    <w:p>
      <w:pPr/>
      <w:r>
        <w:rPr>
          <w:rFonts w:ascii="Arial" w:hAnsi="Arial" w:eastAsia="Arial"/>
        </w:rPr>
        <w:t>Symptoms come and go, and nights are often worse. A clear hour in the afternoon does not rule delirium out. The quiet, sleepy form is common and often missed.</w:t>
      </w:r>
    </w:p>
    <w:p>
      <w:pPr>
        <w:pStyle w:val="Heading2"/>
        <w:shd w:val="clear" w:fill="E9F6F3"/>
        <w:pBdr>
          <w:left w:val="single" w:sz="14" w:space="5" w:color="00796B"/>
        </w:pBdr>
      </w:pPr>
      <w:r>
        <w:rPr>
          <w:rFonts w:ascii="Arial" w:hAnsi="Arial" w:eastAsia="Arial"/>
        </w:rPr>
        <w:t>Delirium or dementia?</w:t>
      </w:r>
    </w:p>
    <w:p>
      <w:pPr/>
      <w:r>
        <w:rPr>
          <w:rFonts w:ascii="Arial" w:hAnsi="Arial" w:eastAsia="Arial"/>
        </w:rPr>
        <w:t>Ask one question: is this person different from their normal self, and did the change arrive within hours or days? Dementia usually develops over months and years. A sudden worsening should be treated as possible delirium or another acute medical problem until assessed.</w:t>
      </w:r>
    </w:p>
    <w:p>
      <w:pPr>
        <w:pStyle w:val="Script"/>
        <w:shd w:val="clear" w:fill="EAF4FA"/>
        <w:keepLines/>
        <w:pBdr>
          <w:left w:val="single" w:sz="18" w:space="6" w:color="0077B6"/>
        </w:pBdr>
      </w:pPr>
      <w:r>
        <w:rPr>
          <w:rFonts w:ascii="Arial" w:hAnsi="Arial" w:eastAsia="Arial"/>
          <w:b/>
          <w:color w:val="005A8D"/>
          <w:sz w:val="18"/>
        </w:rPr>
        <w:t>WORDS TO USE</w:t>
        <w:br/>
      </w:r>
      <w:r>
        <w:rPr>
          <w:rFonts w:ascii="Arial" w:hAnsi="Arial" w:eastAsia="Arial"/>
          <w:color w:val="1F323C"/>
          <w:sz w:val="22"/>
        </w:rPr>
        <w:t>"She is normally independent, with a good memory. Since yesterday she has been muddled and very sleepy. She is not herself at all. I think this could be delirium. She needs medical assessment now."</w:t>
      </w:r>
    </w:p>
    <w:p>
      <w:pPr>
        <w:pStyle w:val="Heading2"/>
        <w:shd w:val="clear" w:fill="EAF4FA"/>
        <w:pBdr>
          <w:left w:val="single" w:sz="14" w:space="5" w:color="0077B6"/>
        </w:pBdr>
      </w:pPr>
      <w:r>
        <w:rPr>
          <w:rFonts w:ascii="Arial" w:hAnsi="Arial" w:eastAsia="Arial"/>
        </w:rPr>
        <w:t>Get medical help now</w:t>
      </w:r>
    </w:p>
    <w:p>
      <w:pPr/>
      <w:r>
        <w:rPr>
          <w:rFonts w:ascii="Arial" w:hAnsi="Arial" w:eastAsia="Arial"/>
          <w:b/>
        </w:rPr>
        <w:t>At home:</w:t>
      </w:r>
      <w:r>
        <w:rPr>
          <w:rFonts w:ascii="Arial" w:hAnsi="Arial" w:eastAsia="Arial"/>
        </w:rPr>
        <w:t xml:space="preserve"> contact the urgent or emergency medical service where the person is. In England, call 999 or go to A&amp;E. In Scotland, contact the GP urgently if open; otherwise phone NHS 24 on 111. Outside the UK, follow local health-service guidance.</w:t>
      </w:r>
    </w:p>
    <w:p>
      <w:pPr/>
      <w:r>
        <w:rPr>
          <w:rFonts w:ascii="Arial" w:hAnsi="Arial" w:eastAsia="Arial"/>
          <w:b/>
        </w:rPr>
        <w:t>In hospital:</w:t>
      </w:r>
      <w:r>
        <w:rPr>
          <w:rFonts w:ascii="Arial" w:hAnsi="Arial" w:eastAsia="Arial"/>
        </w:rPr>
        <w:t xml:space="preserve"> tell a nurse immediately, describe the change from normal and ask for a delirium assessment.</w:t>
      </w:r>
    </w:p>
    <w:p>
      <w:pPr/>
      <w:r>
        <w:rPr>
          <w:rFonts w:ascii="Arial" w:hAnsi="Arial" w:eastAsia="Arial"/>
          <w:b/>
        </w:rPr>
        <w:t>In a care home:</w:t>
      </w:r>
      <w:r>
        <w:rPr>
          <w:rFonts w:ascii="Arial" w:hAnsi="Arial" w:eastAsia="Arial"/>
        </w:rPr>
        <w:t xml:space="preserve"> tell the senior carer or nurse immediately and ask them to arrange medical assessment now.</w:t>
      </w:r>
    </w:p>
    <w:p>
      <w:pPr>
        <w:pStyle w:val="Heading2"/>
        <w:shd w:val="clear" w:fill="FBEDEB"/>
        <w:pBdr>
          <w:left w:val="single" w:sz="16" w:space="5" w:color="B3261E"/>
        </w:pBdr>
      </w:pPr>
      <w:r>
        <w:rPr>
          <w:rFonts w:ascii="Arial" w:hAnsi="Arial" w:eastAsia="Arial"/>
          <w:color w:val="B3261E"/>
        </w:rPr>
        <w:t>Call the local emergency number now (999 in the UK) if the person:</w:t>
      </w:r>
    </w:p>
    <w:p>
      <w:pPr>
        <w:pStyle w:val="ListBullet"/>
        <w:numPr>
          <w:ilvl w:val="0"/>
          <w:numId w:val="10"/>
        </w:numPr>
        <w:pBdr>
          <w:left w:val="single" w:sz="12" w:space="5" w:color="B3261E"/>
        </w:pBdr>
      </w:pPr>
      <w:r>
        <w:rPr>
          <w:rFonts w:ascii="Arial" w:hAnsi="Arial" w:eastAsia="Arial"/>
        </w:rPr>
        <w:t>cannot be woken, or barely responds</w:t>
      </w:r>
    </w:p>
    <w:p>
      <w:pPr>
        <w:pStyle w:val="ListBullet"/>
        <w:numPr>
          <w:ilvl w:val="0"/>
          <w:numId w:val="10"/>
        </w:numPr>
        <w:pBdr>
          <w:left w:val="single" w:sz="12" w:space="5" w:color="B3261E"/>
        </w:pBdr>
      </w:pPr>
      <w:r>
        <w:rPr>
          <w:rFonts w:ascii="Arial" w:hAnsi="Arial" w:eastAsia="Arial"/>
        </w:rPr>
        <w:t>is struggling to breathe</w:t>
      </w:r>
    </w:p>
    <w:p>
      <w:pPr>
        <w:pStyle w:val="ListBullet"/>
        <w:numPr>
          <w:ilvl w:val="0"/>
          <w:numId w:val="10"/>
        </w:numPr>
        <w:pBdr>
          <w:left w:val="single" w:sz="12" w:space="5" w:color="B3261E"/>
        </w:pBdr>
      </w:pPr>
      <w:r>
        <w:rPr>
          <w:rFonts w:ascii="Arial" w:hAnsi="Arial" w:eastAsia="Arial"/>
        </w:rPr>
        <w:t>shows stroke signs: drooping face, weak arm, lost or slurred speech</w:t>
      </w:r>
    </w:p>
    <w:p>
      <w:pPr>
        <w:pStyle w:val="ListBullet"/>
        <w:numPr>
          <w:ilvl w:val="0"/>
          <w:numId w:val="10"/>
        </w:numPr>
        <w:pBdr>
          <w:left w:val="single" w:sz="12" w:space="5" w:color="B3261E"/>
        </w:pBdr>
      </w:pPr>
      <w:r>
        <w:rPr>
          <w:rFonts w:ascii="Arial" w:hAnsi="Arial" w:eastAsia="Arial"/>
        </w:rPr>
        <w:t>has hit their head in a fall, especially on blood thinners</w:t>
      </w:r>
    </w:p>
    <w:p>
      <w:pPr>
        <w:pStyle w:val="ListBullet"/>
        <w:numPr>
          <w:ilvl w:val="0"/>
          <w:numId w:val="10"/>
        </w:numPr>
        <w:pBdr>
          <w:left w:val="single" w:sz="12" w:space="5" w:color="B3261E"/>
        </w:pBdr>
      </w:pPr>
      <w:r>
        <w:rPr>
          <w:rFonts w:ascii="Arial" w:hAnsi="Arial" w:eastAsia="Arial"/>
        </w:rPr>
        <w:t>has a seizure (a fit)</w:t>
      </w:r>
    </w:p>
    <w:p>
      <w:pPr>
        <w:pStyle w:val="ListBullet"/>
        <w:numPr>
          <w:ilvl w:val="0"/>
          <w:numId w:val="10"/>
        </w:numPr>
        <w:pBdr>
          <w:left w:val="single" w:sz="12" w:space="5" w:color="B3261E"/>
        </w:pBdr>
      </w:pPr>
      <w:r>
        <w:rPr>
          <w:rFonts w:ascii="Arial" w:hAnsi="Arial" w:eastAsia="Arial"/>
        </w:rPr>
        <w:t>is getting worse in front of you, over minutes or hours</w:t>
      </w:r>
    </w:p>
    <w:p>
      <w:pPr>
        <w:spacing w:before="80"/>
      </w:pPr>
      <w:r>
        <w:rPr>
          <w:rFonts w:ascii="Arial" w:hAnsi="Arial" w:eastAsia="Arial"/>
          <w:b/>
          <w:color w:val="1F323C"/>
          <w:sz w:val="19"/>
        </w:rPr>
        <w:t>Palliative care:</w:t>
      </w:r>
      <w:r>
        <w:rPr>
          <w:rFonts w:ascii="Arial" w:hAnsi="Arial" w:eastAsia="Arial"/>
          <w:color w:val="1F323C"/>
          <w:sz w:val="19"/>
        </w:rPr>
        <w:t xml:space="preserve"> if there is an agreed palliative-care plan, contact that team urgently and follow the plan.</w:t>
      </w:r>
    </w:p>
    <w:p>
      <w:pPr>
        <w:pStyle w:val="ActionStrip"/>
        <w:shd w:val="clear" w:fill="C24E12"/>
        <w:keepLines/>
        <w:pBdr>
          <w:top w:val="single" w:sz="8" w:space="5" w:color="C24E12"/>
          <w:bottom w:val="single" w:sz="8" w:space="5" w:color="C24E12"/>
          <w:left w:val="single" w:sz="8" w:space="5" w:color="C24E12"/>
          <w:right w:val="single" w:sz="8" w:space="5" w:color="C24E12"/>
        </w:pBdr>
      </w:pPr>
      <w:r>
        <w:rPr>
          <w:rFonts w:ascii="Arial" w:hAnsi="Arial" w:eastAsia="Arial"/>
          <w:b/>
          <w:color w:val="FFFFFF"/>
          <w:sz w:val="23"/>
        </w:rPr>
        <w:t>A false alarm costs a few minutes. A missed delirium can cost far more.</w:t>
      </w:r>
    </w:p>
    <w:p>
      <w:pPr>
        <w:pStyle w:val="SourceText"/>
        <w:keepLines/>
        <w:pBdr>
          <w:top w:val="single" w:sz="6" w:space="5" w:color="DCE7EC"/>
        </w:pBdr>
      </w:pPr>
      <w:r>
        <w:rPr>
          <w:rFonts w:ascii="Arial" w:hAnsi="Arial" w:eastAsia="Arial"/>
          <w:color w:val="51636E"/>
          <w:sz w:val="17"/>
        </w:rPr>
        <w:t>From deliriumsupport.com, an independent educational resource by Professor Alasdair MacLullich, Professor of Geriatric Medicine, University of Edinburgh. It is not an official NHS or University publication. New sudden confusion needs medical assessment now. Contact the urgent or emergency medical service where the person is. In England, call 999 or go to A&amp;E. In Scotland, contact the GP urgently if open; otherwise phone NHS 24 on 111. Outside the UK, follow local health-service guidance. If someone is hard to wake or very unwell, call the local emergency number immediately (999 in the UK). Last reviewed July 2026. Licensed under CC BY 4.0.</w:t>
      </w:r>
    </w:p>
    <w:sectPr>
      <w:headerReference w:type="default" r:id="rId9"/>
      <w:footerReference w:type="default" r:id="rId10"/>
      <w:pgSz w:w="11906" w:h="16838"/>
      <w:pgMar w:top="794" w:right="850" w:bottom="850" w:left="850"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EditableNote"/>
      <w:shd w:val="clear" w:fill="F1F3F4"/>
      <w:keepLines/>
      <w:pBdr>
        <w:left w:val="single" w:sz="14" w:space="5" w:color="0077B6"/>
      </w:pBdr>
    </w:pPr>
    <w:r/>
    <w:r>
      <w:rPr>
        <w:rFonts w:ascii="Arial" w:hAnsi="Arial" w:eastAsia="Arial"/>
        <w:b/>
        <w:color w:val="005A8D"/>
        <w:sz w:val="17"/>
      </w:rPr>
      <w:t>Editable staff copy:</w:t>
    </w:r>
    <w:r>
      <w:rPr>
        <w:rFonts w:ascii="Arial" w:hAnsi="Arial" w:eastAsia="Arial"/>
        <w:color w:val="1F323C"/>
        <w:sz w:val="17"/>
      </w:rPr>
      <w:t xml:space="preserve"> please retain the source, review date and urgent advice. Obtain local approval before adapting or displaying this resource.</w:t>
    </w:r>
  </w:p>
  <w:p>
    <w:pPr>
      <w:spacing w:before="20" w:after="0"/>
      <w:jc w:val="right"/>
    </w:pPr>
    <w:r>
      <w:rPr>
        <w:rFonts w:ascii="Arial" w:hAnsi="Arial" w:eastAsia="Arial"/>
        <w:color w:val="51636E"/>
        <w:sz w:val="17"/>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10205" w:val="right"/>
      </w:tabs>
      <w:spacing w:before="0" w:after="0"/>
    </w:pPr>
    <w:r/>
    <w:r>
      <w:rPr>
        <w:rFonts w:ascii="Arial" w:hAnsi="Arial" w:eastAsia="Arial"/>
        <w:b/>
        <w:color w:val="142A33"/>
        <w:sz w:val="23"/>
      </w:rPr>
      <w:t>Delirium Support</w:t>
    </w:r>
    <w:r>
      <w:rPr>
        <w:rFonts w:ascii="Arial" w:hAnsi="Arial" w:eastAsia="Arial"/>
        <w:color w:val="51636E"/>
        <w:sz w:val="18"/>
      </w:rPr>
      <w:tab/>
    </w:r>
    <w:r>
      <w:rPr>
        <w:rFonts w:ascii="Arial" w:hAnsi="Arial" w:eastAsia="Arial"/>
        <w:color w:val="51636E"/>
        <w:sz w:val="18"/>
      </w:rPr>
      <w:t>deliriumsupport.com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
    <w:multiLevelType w:val="singleLevel"/>
    <w:lvl w:ilvl="0">
      <w:start w:val="1"/>
      <w:numFmt w:val="decimal"/>
      <w:lvlText w:val="%1."/>
      <w:lvlJc w:val="left"/>
      <w:pPr>
        <w:tabs>
          <w:tab w:val="num" w:pos="605"/>
        </w:tabs>
        <w:ind w:left="605" w:hanging="345"/>
        <w:spacing w:after="60" w:line="276" w:lineRule="auto"/>
      </w:pPr>
    </w:lvl>
  </w:abstractNum>
  <w:abstractNum w:abstractNumId="9">
    <w:multiLevelType w:val="singleLevel"/>
    <w:lvl w:ilvl="0">
      <w:start w:val="1"/>
      <w:numFmt w:val="bullet"/>
      <w:lvlText w:val="•"/>
      <w:lvlJc w:val="left"/>
      <w:pPr>
        <w:tabs>
          <w:tab w:val="num" w:pos="605"/>
        </w:tabs>
        <w:ind w:left="605" w:hanging="345"/>
        <w:spacing w:after="60" w:line="276" w:lineRule="auto"/>
      </w:pPr>
      <w:rPr>
        <w:rFonts w:ascii="Arial" w:hAnsi="Arial"/>
      </w:r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76" w:lineRule="auto"/>
    </w:pPr>
    <w:rPr>
      <w:rFonts w:ascii="Arial" w:hAnsi="Arial"/>
      <w:color w:val="1F323C"/>
      <w:sz w:val="23"/>
      <w:lang w:val="en-GB" w:eastAsia="en-GB"/>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20" w:line="252" w:lineRule="auto"/>
      <w:outlineLvl w:val="0"/>
    </w:pPr>
    <w:rPr>
      <w:rFonts w:asciiTheme="majorHAnsi" w:eastAsiaTheme="majorEastAsia" w:hAnsiTheme="majorHAnsi" w:cstheme="majorBidi" w:ascii="Arial" w:hAnsi="Arial"/>
      <w:b/>
      <w:bCs/>
      <w:color w:val="142A33"/>
      <w:sz w:val="32"/>
      <w:szCs w:val="28"/>
      <w:lang w:val="en-GB" w:eastAsia="en-GB"/>
    </w:rPr>
  </w:style>
  <w:style w:type="paragraph" w:styleId="Heading2">
    <w:name w:val="heading 2"/>
    <w:basedOn w:val="Normal"/>
    <w:next w:val="Normal"/>
    <w:link w:val="Heading2Char"/>
    <w:uiPriority w:val="9"/>
    <w:unhideWhenUsed/>
    <w:qFormat/>
    <w:rsid w:val="00FC693F"/>
    <w:pPr>
      <w:keepNext/>
      <w:keepLines/>
      <w:spacing w:before="160" w:after="60" w:line="252" w:lineRule="auto"/>
      <w:outlineLvl w:val="1"/>
    </w:pPr>
    <w:rPr>
      <w:rFonts w:asciiTheme="majorHAnsi" w:eastAsiaTheme="majorEastAsia" w:hAnsiTheme="majorHAnsi" w:cstheme="majorBidi" w:ascii="Arial" w:hAnsi="Arial"/>
      <w:b/>
      <w:bCs/>
      <w:color w:val="005A8D"/>
      <w:sz w:val="26"/>
      <w:szCs w:val="26"/>
      <w:lang w:val="en-GB" w:eastAsia="en-GB"/>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142A33"/>
      <w:sz w:val="23"/>
      <w:lang w:val="en-GB" w:eastAsia="en-G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pBdr>
        <w:bottom w:val="single" w:sz="8" w:space="4" w:color="4F81BD" w:themeColor="accent1"/>
      </w:pBdr>
      <w:spacing w:after="160" w:line="252" w:lineRule="auto" w:before="0"/>
      <w:contextualSpacing/>
    </w:pPr>
    <w:rPr>
      <w:rFonts w:asciiTheme="majorHAnsi" w:eastAsiaTheme="majorEastAsia" w:hAnsiTheme="majorHAnsi" w:cstheme="majorBidi" w:ascii="Arial" w:hAnsi="Arial"/>
      <w:b/>
      <w:color w:val="142A33"/>
      <w:spacing w:val="5"/>
      <w:kern w:val="28"/>
      <w:sz w:val="48"/>
      <w:szCs w:val="52"/>
      <w:lang w:val="en-GB" w:eastAsia="en-GB"/>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80" w:line="276" w:lineRule="auto"/>
    </w:pPr>
    <w:rPr>
      <w:rFonts w:asciiTheme="majorHAnsi" w:eastAsiaTheme="majorEastAsia" w:hAnsiTheme="majorHAnsi" w:cstheme="majorBidi" w:ascii="Arial" w:hAnsi="Arial"/>
      <w:i w:val="0"/>
      <w:iCs/>
      <w:color w:val="51636E"/>
      <w:spacing w:val="15"/>
      <w:sz w:val="23"/>
      <w:szCs w:val="24"/>
      <w:lang w:val="en-GB" w:eastAsia="en-GB"/>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spacing w:after="40" w:line="276" w:lineRule="auto"/>
      <w:ind w:left="720"/>
      <w:contextualSpacing/>
    </w:pPr>
    <w:rPr>
      <w:rFonts w:ascii="Arial" w:hAnsi="Arial"/>
      <w:color w:val="1F323C"/>
      <w:sz w:val="23"/>
      <w:lang w:val="en-GB" w:eastAsia="en-GB"/>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76" w:lineRule="auto"/>
      <w:contextualSpacing/>
    </w:pPr>
    <w:rPr>
      <w:rFonts w:ascii="Arial" w:hAnsi="Arial"/>
      <w:color w:val="1F323C"/>
      <w:sz w:val="23"/>
      <w:lang w:val="en-GB" w:eastAsia="en-GB"/>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line="276" w:lineRule="auto"/>
      <w:contextualSpacing/>
    </w:pPr>
    <w:rPr>
      <w:rFonts w:ascii="Arial" w:hAnsi="Arial"/>
      <w:color w:val="1F323C"/>
      <w:sz w:val="23"/>
      <w:lang w:val="en-GB" w:eastAsia="en-GB"/>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Text">
    <w:name w:val="SourceText"/>
    <w:pPr>
      <w:widowControl/>
      <w:spacing w:before="0" w:after="60" w:line="259" w:lineRule="auto"/>
    </w:pPr>
    <w:rPr>
      <w:rFonts w:ascii="Arial" w:hAnsi="Arial"/>
      <w:b w:val="0"/>
      <w:color w:val="51636E"/>
      <w:sz w:val="17"/>
      <w:lang w:val="en-GB" w:eastAsia="en-GB"/>
    </w:rPr>
  </w:style>
  <w:style w:type="paragraph" w:customStyle="1" w:styleId="EditableNote">
    <w:name w:val="EditableNote"/>
    <w:pPr>
      <w:widowControl/>
      <w:spacing w:before="0" w:after="60" w:line="259" w:lineRule="auto"/>
    </w:pPr>
    <w:rPr>
      <w:rFonts w:ascii="Arial" w:hAnsi="Arial"/>
      <w:b w:val="0"/>
      <w:color w:val="1F323C"/>
      <w:sz w:val="17"/>
      <w:lang w:val="en-GB" w:eastAsia="en-GB"/>
    </w:rPr>
  </w:style>
  <w:style w:type="paragraph" w:customStyle="1" w:styleId="Script">
    <w:name w:val="Script"/>
    <w:pPr>
      <w:widowControl/>
      <w:spacing w:before="0" w:after="120" w:line="276" w:lineRule="auto"/>
    </w:pPr>
    <w:rPr>
      <w:rFonts w:ascii="Arial" w:hAnsi="Arial"/>
      <w:b w:val="0"/>
      <w:color w:val="1F323C"/>
      <w:sz w:val="22"/>
      <w:lang w:val="en-GB" w:eastAsia="en-GB"/>
    </w:rPr>
  </w:style>
  <w:style w:type="paragraph" w:customStyle="1" w:styleId="ActionStrip">
    <w:name w:val="ActionStrip"/>
    <w:pPr>
      <w:widowControl/>
      <w:spacing w:before="0" w:after="120" w:line="259" w:lineRule="auto"/>
    </w:pPr>
    <w:rPr>
      <w:rFonts w:ascii="Arial" w:hAnsi="Arial"/>
      <w:b/>
      <w:color w:val="FFFFFF"/>
      <w:sz w:val="23"/>
      <w:lang w:val="en-GB" w:eastAsia="en-GB"/>
    </w:rPr>
  </w:style>
  <w:style w:type="paragraph" w:customStyle="1" w:styleId="FormLine">
    <w:name w:val="FormLine"/>
    <w:pPr>
      <w:widowControl/>
      <w:spacing w:before="0" w:after="100" w:line="240" w:lineRule="auto"/>
    </w:pPr>
    <w:rPr>
      <w:rFonts w:ascii="Arial" w:hAnsi="Arial"/>
      <w:b w:val="0"/>
      <w:color w:val="1F323C"/>
      <w:sz w:val="21"/>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Delirium action guide: what to look for, what to do</dc:title>
  <dc:subject>Editable Delirium Support family and carer resource for local adaptation</dc:subject>
  <dc:creator/>
  <cp:keywords>delirium, family, carer, healthcare, editable resource</cp:keywords>
  <dc:description>Source wording retained from the final reviewed Delirium Support PDF source.</dc:description>
  <cp:lastModifiedBy/>
  <cp:revision>1</cp:revision>
  <dcterms:created xsi:type="dcterms:W3CDTF">2013-12-23T23:15:00Z</dcterms:created>
  <dcterms:modified xsi:type="dcterms:W3CDTF">2013-12-23T23:15:00Z</dcterms:modified>
  <cp:category>Delirium Support staff resources</cp:category>
</cp:coreProperties>
</file>